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5A9E" w:rsidRDefault="004A5A9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Clashing Human Rights Priorities - How the United States and Muslim Countries Selectively Use Provisions of International Human Rights Law</w:t>
      </w:r>
    </w:p>
    <w:p w:rsidR="004A5A9E" w:rsidRDefault="004A5A9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Ann Elizabeth Mayer, Legal Studies and Business Ethics, The Wharton School, University of Pennsylvania     -     2005</w:t>
      </w:r>
    </w:p>
    <w:p w:rsidR="004A5A9E" w:rsidRDefault="004A5A9E">
      <w:pPr>
        <w:widowControl w:val="0"/>
        <w:autoSpaceDE w:val="0"/>
        <w:autoSpaceDN w:val="0"/>
        <w:adjustRightInd w:val="0"/>
        <w:spacing w:after="0" w:line="240" w:lineRule="auto"/>
        <w:rPr>
          <w:rFonts w:ascii="Arial" w:hAnsi="Arial" w:cs="Arial"/>
          <w:sz w:val="12"/>
          <w:szCs w:val="12"/>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Both the United States and Muslim countries – the latter to differing degrees – resisted bringing their systems into conformity with international human rights law, and both made a habit of emphasizing certain human rights while ignoring others. Both sides acted as though certain international human rights principles could be overridden by  . . .   domestic policies.</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Profiting from its superpower status, the United States has been able to press its own human rights priorities and to wield human rights as a tool to advance its foreign policy goals without heed for the critical reactions of others, resulting in widespread doubts about the sincerity of the US commitment to human rights.</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particular, the US invasion and occupation of Iraq, which is portrayed by US officialdom as aiming to bring democracy and human rights to the region, is overwhelmingly perceived in Muslim countries as a neo-imperialist venture incompatible with respect for Iraqis' right of self-determination.    . . .</w:t>
      </w: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ind w:left="720" w:right="720"/>
        <w:rPr>
          <w:rFonts w:ascii="Arial" w:hAnsi="Arial" w:cs="Arial"/>
          <w:sz w:val="20"/>
          <w:szCs w:val="20"/>
        </w:rPr>
      </w:pPr>
      <w:r>
        <w:rPr>
          <w:rFonts w:ascii="Times New Roman" w:hAnsi="Times New Roman" w:cs="Times New Roman"/>
          <w:color w:val="FF0000"/>
          <w:sz w:val="24"/>
          <w:szCs w:val="24"/>
        </w:rPr>
        <w:tab/>
        <w:t>{  Note that self-determination is used here, apparently to mean the right of a dictator to rule his country rather than the right of the citizens of a country to choose by voting who shall rule them.  }</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and various Muslim countries rank among the states that have treated human rights as if they could be ranked in a hierarchical order, with certain rights being prioritized and others being downgraded as if they were less urgent or could be ignored altogether.</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practice of ranking human rights in terms of importance has been deprecated as being at odds with the logic of the UN human rights system   . . .   Moreover, the 1993 Vienna Declaration and Programme of Action reaffirmed that in the UN system of human rights all human rights matter   . . .</w:t>
      </w: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and Muslim countries have a shared history of awkward relationships with the UN human rights system.  Among other things, in addition to picking and choosing among human rights – as if many could be discounted, both sides act as if certain fundamental domestic traditions and policies are entitled to override international human rights law.</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Their common practice of treating aspects of their domestic laws as sacrosanct and immutable has stood in the way of their adjusting to the more exigent </w:t>
      </w:r>
      <w:r w:rsidRPr="00F97DF2">
        <w:rPr>
          <w:rStyle w:val="FootnoteReference"/>
        </w:rPr>
        <w:footnoteReference w:id="1"/>
      </w:r>
      <w:r>
        <w:rPr>
          <w:rFonts w:ascii="Arial" w:hAnsi="Arial" w:cs="Arial"/>
          <w:sz w:val="20"/>
          <w:szCs w:val="20"/>
        </w:rPr>
        <w:t xml:space="preserve"> and comprehensive standards of international human rights law   . . .   That governments only selectively apply human rights does not necessarily correlate with popular sentiments about what rights matter.   . . .</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Ideas of the 18th century European Enlightenment influenced the UN formulations of civil and political rights, the so-called negative or first generation rights that place limits on actions of governments. In that era European theorists posited that  . . .  people needed protection from interference with their freedom to exercise choices and that they required guarantees against governmental coercion and arbitrary violence.</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A recent study has showed how, in contrast to other centers   . . .   the United States has continued to remain oriented toward 18th century perspectives [Gertrude Himmelfarb (2004): The Roads to Modernity. New York: Knopf].  The United States is still disposed to favor the limited spectrum of civil and political rights set forth in the constitutional amendments in its 1791 Bill of Rights.     . . .</w:t>
      </w: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most influential models for the UN statements of economic and social rights, the so-called positive or second generation rights    . . .    require states to provide for people's basic needs    . . .</w:t>
      </w: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Solidarity rights include the right include the right to self-determination, the right to development, to sovereignty over natural resources, to participate in the common heritage of mankind, to peace, to a healthy and sustainable environment, and to humanitarian disaster relief.     . . .    Third generation rights, highly valued by people in the Muslim world, have found little support in the United States, either from the government or for the population at large.    . . .  Indeed, in part due to US actions that have backed Israel and impeded Palestinians' national liberation struggle, it has become widely viewed as a country antipathetical to the right of self-determination   . . .    The United States under the leadership of Woodrow Wilson once acted as the champion of the right of self-determination of peoples.</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Bush Administration, effectively dismissing the relevance of its positions on the Israel-Palestine conflict, professes to be carrying out a similarly idealistic mission, one of spreading freedom, via its invasion and occupation of Iraq, which are portrayed by the United States as aiming to bring democracy and human rights to the Middle East. However, this intervention is overwhelmingly perceived in Muslim countries as a neo-imperialist venture   . . .</w:t>
      </w: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mistaken impression that the United States is a strong backer of international human rights law has been encouraged   . . .   The contrast between US chastisements of other countries for failing to adhere to human rights and the US resistance to incorporating international standards in its domestic system is remarkable. The United States has a long history of resistance to international human rights law   . . .</w:t>
      </w: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has continued to be reluctant to make binding commitments to uphold international human rights law even where mainstream civil and political rights are concerned. It ratifies relatively few human rights conventions, and, when it does ratify, it does so only subject to qualifications that render ratification ineffective.    . . .</w:t>
      </w: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has not adjusted to the expansion of human rights over the last few decades, an expansion that has resulted in many new principles being set forth in a series of UN declarations and treaties. New frontiers have been regularly opened as human rights principles keep expanding.    . . .</w:t>
      </w: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are many factors behind the US failure to keep abreast of international human rights law, but the conviction that the US Constitution – meaning the Constitution as interpreted by the Federal Courts – must be upheld as the definitive statement of rights is one of them.</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when the US Constitutional standards are clearly less protective of human rights than international human rights law is, they are treated as definitive, meaning that the Constitution is conceived of as a ceiling on rights.</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may seem odd that a contemporary democracy would treat its constitution in this way, as a barrier to human rights.    . . .   However, when viewed in relation to the constitutional accomplishments of other nations during the last decades of the 20th century, the archaic features of the Constitution spring </w:t>
      </w:r>
      <w:r>
        <w:rPr>
          <w:rFonts w:ascii="Arial" w:hAnsi="Arial" w:cs="Arial"/>
          <w:sz w:val="20"/>
          <w:szCs w:val="20"/>
        </w:rPr>
        <w:lastRenderedPageBreak/>
        <w:t xml:space="preserve">to the fore. For example, it contains references to the slave trade and to the slave populations of the south,  . . .   an admonition to the Federal Government not to confer titles of nobility  . . . , and a prohibition of laws working “corruption of the blood”   . . . </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did not originally provide protections for any rights; only after clamor for including rights provisions ensued did the short list of rights adumbrated in the 1791 Bill of Rights become added to the 1791 original text. (Of course, various other amendments protective of rights like the important Fourteenth Amendment were added later.)</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deficiencies of the Constitution in the domain of human rights have troubled US progressives. Scholarly specialists in international law, who are exposed to modern rights concepts, are more likely than other Americans to notice the gap that has opened up between US Constitutional interpretations and US domestic law on one side and contemporary international human rights law on the other.</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late international law expert Richard B. Lillich observed that, to the extent that the Constitution embraced slavery and countenanced the denial of women's rights, it actually was anti-human rights in content. [Richard B. Lillich (1990): The United States Constitution and International Human Rights Law. In: Harvard Human Rights Journal 3, 53-81]   . . .</w:t>
      </w: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President Franklin Roosevelt, perceiving the deficiencies of the Bill of Rights, called for updating and expanding the original text to provide for social and economic rights (90-I Cong. Rec. 55, 57, 1944). With his untimely death, prospects for undertaking a reform of this historic magnitude dwindled.   . . .   It will not be easy to persuade people that the US Bill of Rights must be amended, as the 1982 defeat of the proposed Equal Rights Amendment to the Constitution showed, a defeat that left the Constitution bereft of any guarantee of equality in rights.</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To understand why US attitudes are so conservative, one needs to bear in mind that the US Constitution possesses a different status from that of other constitutions. The legal scholar Thomas Grey has observed that the US Constitution is not simply a “hierarchically superior statute”  . . .   but “a sacred symbol, the most potent emblem (along with the flag) of the nation itself”     . . .    An original version on sheets of parchment is carefully preserved and impressively displayed in the temple-like National Archives building in Washington. As if on religious pilgrimages, Americans from around the country come to gaze at the Constitution, the Bill of Rights, and the Declaration of Independence. They enter the archives via huge doors in the columned south façade to encounter a high-ceilinged, dimly-lit display chamber reminiscent of the interior of a Greek temple, where one might expect to encounter a statue of the goddess Artemis. </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There they stand silently in line, awaiting their opportunity to gaze at faded script. The fact that at night the display cases sink down underground into reinforced vaults – so that the documents can survive even if the surrounding capital city of Washington is obliterated by a nuclear attack – indicates how the documents are treasured. Given the attention that is paid to preserving the documents, one could argue that the Constitution is treated more like a holy relic, such as the Shroud of Turin, than like a secular document laying out a scheme of government. </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Americans deem this normal.  . . .  Citizens of other countries do not make pilgrimages to venerate their constitutions    . . .</w:t>
      </w: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Daniel Lazare has been one of the rare writers who regularly and vigorously attacks the stultifying impact that clinging to an 18th century constitution has had. He has emphasized how peculiar it is to treat the basic law of a country as if it were a magical object or a product of divine revelation. Its having the character of a sacred object could go some way toward explaining why the US Constitution has survived so long with its archaic features intact. After all, it is in the nature of a sacred law to be difficult to change, because change is not easily reconciled with sacred status.    . . .</w:t>
      </w: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prospect that the US Supreme Court in interpreting Constitutional rights provisions might in future be guided by jurisprudence from other countries and/or by international human rights standards has provoked hostile reactions in Congress. This led to efforts in November 2003 to discourage the Supreme Court from referring to the jurisprudence of other countries or to international law via the introduction of the so-called “Constitutional Preservation Resolution,” which aims to reinforce US isolation and keep external human rights developments from infiltrating the US legal system. The name of this resolution is significant in that it embodies the common US perspective that “foreign” or “international” rights principles must be treated like dangerous viruses from which the Constitution should be shielded.    . . .</w:t>
      </w: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text reads as follows:     . . .    “. . .  Whereas the role of the Supreme Court is to interpret laws based on the Constitution; Whereas the Supreme Court has cited world opinions and laws in two recently decided cases, Atkins v. Virginia and Lawrence v. Texas; and   . . .   Whereas the laws of foreign countries, and international laws and agreements not made under the authority of the United States, have no legal standing under the United States legal system: Now, therefore, be it Resolved:  . . .   It is the sense of the House of Representatives that, pursuant to article VI of the Constitution, the Supreme Court should base its decisions on the Constitution and the Laws of the United States, and not on the law of any foreign country or any international law or agreement not made under the authority of the United States.   . . .  “   . . .</w:t>
      </w: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Thus, one sees that the United States has a deeply conflictual relationship with the international human rights system. One the one hand, it wields human rights as a tool of its foreign policy and preaches the universality of human rights, and on the other, it refuses to incorporate international human rights law in its own domestic system, preferring to stand by its constitutional standards, which retain 18th century characteristics. It is a sign of the insularity and parochialism that typically shape Americans' vision of rights issues that only a minority seems to be either interested in or perturbed by the relative weakness of the rights provisions in the US Constitution vis-à-vis those set forth in the laws of other Western democracies and international human rights law.   . . .</w:t>
      </w: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level of popular anger over the US invasion and occupation of Iraq has been a factor in Arab governments' resistance to Western calls for international intervention to deal with the massive humanitarian crisis in Darfur. Despite widespread expressions of concern for the victims of the Darfur atrocities, the United States is unable to muster a coalition to intervene. Perhaps one million people will be exposed to starvation and death as a result. By repeatedly raising the profile of human rights issues while at the same time following policies that are perceived as inimical to the rights and interests of people in Muslim countries, the United States has become so mistrusted that leaders of Muslim countries are reluctant to cooperate with it, even where abstaining from intervention risks occasioning a massive loss of life on the part of innocent Muslim civilians.   . . .</w:t>
      </w: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in its invasion and occupation of Iraq has shown insensitivity to the reality that its intervention reminds Muslims of former European imperialist predations. With striking obliviousness to how hollow its claims to be committed to advancing human rights and freedoms will sound to Muslim ears, the United States has continued to portray its intervention as necessary to carry out a human rights mission.    . . .</w:t>
      </w: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people of the United States are currently deprived of many of the protections afforded under international human rights law due to the US insistence on upholding traditions that impede adjustments to that law.</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 date the US failure to embrace the idea that all human rights matter has primarily had harmful effects in the domestic sphere.</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However, it seems that now that it has embarked on an ambitious project to remake the Middle East according to its own vision, the United States may be exacerbating tensions in an already volatile region by pressing its distinctive and limited human rights priorities in Muslim societies where human rights priorities are assessed very differently and where resentments of US double standards on human rights issues have been magnified by recent events.</w:t>
      </w:r>
    </w:p>
    <w:p w:rsidR="004A5A9E" w:rsidRDefault="004A5A9E">
      <w:pPr>
        <w:widowControl w:val="0"/>
        <w:autoSpaceDE w:val="0"/>
        <w:autoSpaceDN w:val="0"/>
        <w:adjustRightInd w:val="0"/>
        <w:spacing w:after="0" w:line="240" w:lineRule="auto"/>
        <w:rPr>
          <w:rFonts w:ascii="Arial" w:hAnsi="Arial" w:cs="Arial"/>
          <w:sz w:val="10"/>
          <w:szCs w:val="10"/>
        </w:rPr>
      </w:pPr>
      <w:r>
        <w:rPr>
          <w:rFonts w:ascii="Arial" w:hAnsi="Arial" w:cs="Arial"/>
          <w:sz w:val="20"/>
          <w:szCs w:val="20"/>
        </w:rPr>
        <w:t xml:space="preserve">  </w:t>
      </w: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http://them.polylog.org/6/ama-en.htm</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Times New Roman" w:hAnsi="Times New Roman" w:cs="Times New Roman"/>
          <w:sz w:val="24"/>
          <w:szCs w:val="24"/>
        </w:rPr>
      </w:pPr>
    </w:p>
    <w:p w:rsidR="004A5A9E" w:rsidRDefault="004A5A9E">
      <w:pPr>
        <w:widowControl w:val="0"/>
        <w:autoSpaceDE w:val="0"/>
        <w:autoSpaceDN w:val="0"/>
        <w:adjustRightInd w:val="0"/>
        <w:spacing w:after="0" w:line="240" w:lineRule="auto"/>
        <w:rPr>
          <w:rFonts w:ascii="Times New Roman" w:hAnsi="Times New Roman" w:cs="Times New Roman"/>
          <w:sz w:val="24"/>
          <w:szCs w:val="24"/>
        </w:rPr>
      </w:pPr>
    </w:p>
    <w:p w:rsidR="004A5A9E" w:rsidRDefault="004A5A9E">
      <w:pPr>
        <w:widowControl w:val="0"/>
        <w:autoSpaceDE w:val="0"/>
        <w:autoSpaceDN w:val="0"/>
        <w:adjustRightInd w:val="0"/>
        <w:spacing w:after="0" w:line="240" w:lineRule="auto"/>
        <w:rPr>
          <w:rFonts w:ascii="Times New Roman" w:hAnsi="Times New Roman" w:cs="Times New Roman"/>
          <w:sz w:val="24"/>
          <w:szCs w:val="24"/>
        </w:rPr>
      </w:pPr>
    </w:p>
    <w:p w:rsidR="004A5A9E" w:rsidRDefault="004A5A9E">
      <w:pPr>
        <w:widowControl w:val="0"/>
        <w:autoSpaceDE w:val="0"/>
        <w:autoSpaceDN w:val="0"/>
        <w:adjustRightInd w:val="0"/>
        <w:spacing w:after="0" w:line="240" w:lineRule="auto"/>
        <w:rPr>
          <w:rFonts w:ascii="Times New Roman" w:hAnsi="Times New Roman" w:cs="Times New Roman"/>
          <w:sz w:val="24"/>
          <w:szCs w:val="24"/>
        </w:rPr>
      </w:pPr>
    </w:p>
    <w:p w:rsidR="004A5A9E" w:rsidRDefault="004A5A9E">
      <w:pPr>
        <w:widowControl w:val="0"/>
        <w:autoSpaceDE w:val="0"/>
        <w:autoSpaceDN w:val="0"/>
        <w:adjustRightInd w:val="0"/>
        <w:spacing w:after="0" w:line="240" w:lineRule="auto"/>
        <w:rPr>
          <w:rFonts w:ascii="Times New Roman" w:hAnsi="Times New Roman" w:cs="Times New Roman"/>
          <w:sz w:val="24"/>
          <w:szCs w:val="24"/>
        </w:rPr>
      </w:pPr>
    </w:p>
    <w:p w:rsidR="004A5A9E" w:rsidRDefault="004A5A9E">
      <w:pPr>
        <w:widowControl w:val="0"/>
        <w:autoSpaceDE w:val="0"/>
        <w:autoSpaceDN w:val="0"/>
        <w:adjustRightInd w:val="0"/>
        <w:spacing w:after="0" w:line="240" w:lineRule="auto"/>
        <w:rPr>
          <w:rFonts w:ascii="Times New Roman" w:hAnsi="Times New Roman" w:cs="Times New Roman"/>
          <w:sz w:val="24"/>
          <w:szCs w:val="24"/>
        </w:rPr>
      </w:pPr>
    </w:p>
    <w:p w:rsidR="004A5A9E" w:rsidRDefault="004A5A9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America the Undemocratic</w:t>
      </w: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Daniel Lazare   -   New Left Review    -   Aug. 22, 2001</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Civil liberties that more or less derive from the Bill of Rights  . . .  are the only civil liberties that Americans, in their self-referential way, regard as valid.    . . .   </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Relative to its own past, the US civil liberties record is no better than mixed — ahead in certain respects, behind in others. Relative to the rest of the advanced industrial world, it is increasingly negative.</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Compared to nations of similar economic development, the US treats its citizens more harshly, jails them more frequently and for longer terms, limits their ability to defend themselves economically, and curtails them politically.    . . .  Its daily press is the blandest, while the political debate it serves up is the most intellectually vapid.    . . .    </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Republican and Democratic parties are little more than hollow shells by this point, sustained by massive infusions of government aid   . . .   American politics stand out as the most corrupt in the advanced industrial world.     . . .    The virtual absence of a party structure means that each and every politician is a freelance entrepreneur, cutting deals and raising funds in an effort to propel his or her political career to an ever ‘more perfect’ level. Congress meanwhile functions as little more than a political bourse.    . . .</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Thanks to the principle of equal state representation, a demographic giant like California — population 32 million, 50 per cent of whom are black, Hispanic, or other minority — has the same number of senators (two) as a lily-white rotten borough like Wyoming, population half a million. Inequities like these are fully comparable to the racial gerrymandering of the Deep South at the height of Jim Crow.   . . .   </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Supreme Court justices are unelected appointees who ‘hold their offices during good behavior’ (Article iii, Section one), which, practically speaking, means for life. Once appointed, they are essentially unaccountable. Yet the least democratic branch of government was now responsible for democratizing American society while so-called democratic politicians stood idle.   . . .   The immutable constitution was once more a bastion of liberty just as it had been in the eighteenth century. Yet rallying behind the Supreme Court meant rallying behind the Constitution in toto, which meant ignoring the constitutional system’s many unsavoury aspects.   . . .   </w:t>
      </w: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State and local government in the US similarly remained a night-mare of baroque inefficiency. Not only does America have 50 state governments, each with its own legislative, executive, and judicial branches, but it also has some 83,000 local governments, everything from city councils and school boards to such exotica as library boards, mosquito control commissions, and flood control districts. All are elected, all are largely autonomous, and all are intensely jealous of their ancient constitutional liberties. Given the opportunity, all behave with the impunity of feudal barons as they raid their neighbours to lure away businesses, upscale residential developments, or other profitable assets. Nearly all strive to keep out poor people, blacks, or anyone or anything else they think will adversely affect the municipal bottom line.    . . .    </w:t>
      </w: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law rules, the people obey. Ironically, the great constitutional reforms of the 1950s, 1960s, and 1970s strengthened this neo-medieval belief system instead of weakening it. At a time when Southern racists were vowing resistance to the Supreme Court, popular sovereignty came to be more and more associated with mob rule, while the rule of law came to be associated with racial equality and freedom of assembly. ‘If we are wrong,’ Martin Luther King Jr. told his followers in 1955, ‘then the Supreme Court of this nation is wrong. If we are wrong, the Constitution of the United States is wrong. If we are wrong, God Almighty is wrong.’</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he was  right, by the same token, then God was in his heaven and all was right with the US constitutional order. A similar process took place two decades later when Watergate, America’s version of the Glorious Revolution of 1688, reinvigorated tired old notions about checks and balances, separation of powers, and judicial review. Legal pietists like The New York Times’s Anthony Lewis had a field day bashing Richard Nixon for daring to challenge the age-old rule of law. The Constitution loomed higher over American society than ever.   . . .</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By checking and balancing the people’s government against itself so as to prevent the development of coherent majority rule, Madison was blocking development of the one force capable of moving society forward. Popular sovereignty was stillborn as a result, and the US was prevented from modernizing itself constitutionally or politically.    . . .    This explains why, two centuries later, amid all the subdivisions and shopping malls, America is home to so many Christian fundamentalists, heavily-armed militia members, creationists, and other rebels against modernity. It explains why its politics are so parochial and anti-intellectual, why its parties are little more than empty shells, and why the presidency carries with it so many royal trappings.   . . .</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If ‘God takes care of drunkards, of little children, and of the United States’, as the Russian political scientist Moisei Ostrogorski remarked in 1902, then the republic’s success despite its illogical political structure can be taken as proof that God is personally guiding the American enterprise. Rather than popular sovereignty, the Constitution reflects the sovereignty of the Supreme Being. Postmodernists, religious traditionalists, born-again Jeffersonians who believe God is on their side — the Constitution has something for everyone    . . .   </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By externalizing civil liberties in the form of an untouchable Bill of Rights, US constitutionalism has prevented their internalization as part of the democratic political process. By defining civil liberties in terms of an eternally beleaguered minority, it has failed to recognize that civil liberties are no less important to the demos as a whole since it is free speech, a free press, and free debate that enable the majority to find and organize itself, to determine what it is and what it believes.</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absence of such freedoms, a democratic majority eventually degenerates into an undemocratic faction determined to impose its views on society regardless of what the people might think.    . . .   Marxism teaches that freedom is not static, as an unchangeable legal code like the Bill of Rights would suggest, but that its definition is always in flux. Indeed, there is no better proof of this than the Bill of Rights itself, which contains a number of provisions that, after the elapse of more than two hundred years, are either embarrassing (such as the apparently unqualified right to bear arms set forth in the Second Amendment), irrelevant (the Third Amendment ban on quartering soldiers in civilian homes during peacetime), or hopelessly obscure (the rarely-cited Ninth and Tenth amendments reserving various unspecified rights to the states or the people at large). It also contains a blanket protection of private property in the Fifth Amendment’s ‘just compensation clause that all good leftists should be straining at the bit to remove, plus some nice-sounding phrases barring ‘cruel and unusual punishments’ and ‘unreasonable searches and seizures’ that have been rendered inoperative by the war on drugs.</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Clearly, there is much to argue about here, much to repair, rethink, and modernize. Yet nothing is more terrifying to American civil libertarians than the prospect of opening the Bill of Rights to political review, an idea that, for them, conjures up images of slack-jawed rednecks asking themselves if the US really needs protection after all these years against compulsory self-incrimination or double jeopardy.</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Not only does this reflect the prejudices of what is in fact a self-serving civil-liberties élite, it assumes that the Bill of Rights is the final word on the subject and that there is nothing Americans in the late twentieth century can add that will not make matters worse.   . . .   The de-politicization of civil liberties, finally, renders not only the elected branches institutionally irresponsible, but renders the people irresponsible as well. By placing civil liberties on a plane high above their reach, it tells them, in effect, that they do not have to struggle day in and day out for their modernization and expansion. If it tends ‘to drive out questions of justice and right’ from the minds of legislators, it does the same for those who elect them to office. Daily life is de-politicized as the people are reduced to the role of passive onlookers.    . . .    </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If the US constitutional system is ‘a machine that would go of itself’, as James Russell Lowell said in the 1880s, then the people’s role is essentially negative: to guard the system against subversion or attack, but otherwise to stand aside and let it do its work. Limited government means limited democracy and hence limited mass participation. By taking the most vital questions having to do with the structure of the state and its relation to society and placing them in a realm high above society’s reach, it devitalizes politics. As politics grow enervated, democracy is trivialized, and civil liberties cannot but deteriorate as well — precisely the sort of vicious cycle we now see at work in the United States.   . . .</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nearly all other cases, the people have established their sovereignty by reconstituting their political environment and vice versa — in the 1870s in the case of the Swiss, since 1945 in the case of nearly all members of the European Union. Britain is an obvious exception in that it constitutionally enshrines the sovereignty of the crown-in-parliament rather than that of the people. But at least it recognizes a form of sovereignty whereas the US recognizes none.    . . .   All points on the US liberal-conservative spectrum are at one with the Founders in believing that unlimited popular sovereignty — the only kind of sovereignty there can be, since sovereignty, by definition, is unlimited — is inherently tyrannical.</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struggle to democratize the Constitution therefore means a struggle to forge a sovereign people, a demos, out of a population that has allowed its power to be divided and subdivided so as to prevent it from taking charge of society as a whole.</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Rather than merely fighting for this or that reform, it means challenging American political beliefs at their most basic. But speaking the language of democracy as it has developed since 1787–88 means speaking a language that is by now largely alien to American ears.</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Rather than separation of powers, it means arguing that a union of powers under the control of a single demos is the only coherent basis for modern democracy.</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Rather than fetishizing checks and balances, it means arguing that the goal of democracy must be to overcome the contradiction between government and the governed.</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Instead of limited government, it means arguing the people’s unlimited right to move heaven, earth, and the Constitution to preserve, defend, and extend their rule.</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 society predicated on the principle that freedom depends on the people holding their sovereign power in abeyance, the notion cannot help but sound strange, counterintuitive, utopian. But the situation is not as hopeless as it may at first glance appear.    . . .   The Constitution closed the door to simple majoritarian rule in the United States. Popular majorities animated by what people wanted to do at a particular moment would be forever constrained. Despite the celebration of popular sovereignty in America, the sovereign people were restrained once the Constitution was ratified.</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so, then, America has succeeded where every other empire in history has failed. It has created a counter-democratic regime of infinite duration.</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it has not. The more inequitable the American system grows, the greater the likelihood that someday it will snap. Any other society would in the grips of a similar contradiction, and there is no reason to think that the United States is any different.    . . .    The most elegant solution would be for the people, led no doubt by the urban working class, to confront the Senate en masse and demand reform where the law says reform is impossible. Even if they were to confine their demands to the removal of a single troublesome clause, they would be doing so in violation of the existing law of the land. They would be acting illegally, yet the idea of an entire people acting in violation of a constitution made in its name would be patently absurd.  . . .   The people would dissolve the law     . . .   Checks and balances, separation of powers, and the rest would have to defend themselves in the court of democratic opinion, something they have never had to do since ratification. All would be considered guilty until proven innocent.</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How much of the old constitutional baggage would survive is purest speculation, of course.    . . .   The urban masses, short-changed and ill-governed under a system that gives undue weight to under-populated agrarian states, might discover that they enjoy governing directly and embark on further changes to strengthen their rule. Workers, who have never had a real opportunity to speak with their own voice in America’s impoverished political system, might seize the opportunity to organize a separate political party.   . . ..   </w:t>
      </w: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populace is urged to stand by and watch as constitutional high priests rummage through the ancient law to come up with answers to modern problems. If this trend is allowed to continue, the outcome will almost undoubtedly be deepening political stagnation, growing corruption and oligarchy, increasing brutality toward the working class and the poor, and a rising obsession with legal forms as opposed to democratic substance.</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Constitution and Bill of Rights will no doubt remain in their bullet-proof, helium-filled glass cases in the National Archives in Washington, lowered each night into a reinforced underground vault as a precaution against nuclear attack. But the essence of democracy will have been lost.</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more revered the Constitution grows, the more society beneath it will decay. The more society needs to analyze where it went wrong, the less will it be able to concentrate its thoughts.   . . .   </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assertion that ‘We the People do ordain and establish this Constitution for the United States of America’ implies a right not only to create new frames of government but to abrogate old ones when they are no longer serving their purposes. The people may do so over and above, or even contrary to the existing law.</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Given that the current constitution is no longer establishing justice, insuring domestic tranquillity, and promoting the general welfare but is in fact undermining them, the people have a historically established right of revolution to jettison it as well. Having done it once, ‘We the People’ can do it again. The US Constitution’s great gift to the cause of international democracy is contained in its first three words. The rest of it can go.</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http://newleftreview.org/static/assets/archive/pdf/NLR22801.pdf</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Times New Roman" w:hAnsi="Times New Roman" w:cs="Times New Roman"/>
          <w:sz w:val="24"/>
          <w:szCs w:val="24"/>
        </w:rPr>
      </w:pPr>
    </w:p>
    <w:p w:rsidR="004A5A9E" w:rsidRDefault="004A5A9E">
      <w:pPr>
        <w:widowControl w:val="0"/>
        <w:autoSpaceDE w:val="0"/>
        <w:autoSpaceDN w:val="0"/>
        <w:adjustRightInd w:val="0"/>
        <w:spacing w:after="0" w:line="240" w:lineRule="auto"/>
        <w:rPr>
          <w:rFonts w:ascii="Times New Roman" w:hAnsi="Times New Roman" w:cs="Times New Roman"/>
          <w:sz w:val="24"/>
          <w:szCs w:val="24"/>
        </w:rPr>
      </w:pPr>
    </w:p>
    <w:p w:rsidR="004A5A9E" w:rsidRDefault="004A5A9E">
      <w:pPr>
        <w:widowControl w:val="0"/>
        <w:autoSpaceDE w:val="0"/>
        <w:autoSpaceDN w:val="0"/>
        <w:adjustRightInd w:val="0"/>
        <w:spacing w:after="0" w:line="240" w:lineRule="auto"/>
        <w:rPr>
          <w:rFonts w:ascii="Times New Roman" w:hAnsi="Times New Roman" w:cs="Times New Roman"/>
          <w:sz w:val="24"/>
          <w:szCs w:val="24"/>
        </w:rPr>
      </w:pPr>
    </w:p>
    <w:p w:rsidR="004A5A9E" w:rsidRDefault="004A5A9E">
      <w:pPr>
        <w:widowControl w:val="0"/>
        <w:autoSpaceDE w:val="0"/>
        <w:autoSpaceDN w:val="0"/>
        <w:adjustRightInd w:val="0"/>
        <w:spacing w:after="0" w:line="240" w:lineRule="auto"/>
        <w:rPr>
          <w:rFonts w:ascii="Times New Roman" w:hAnsi="Times New Roman" w:cs="Times New Roman"/>
          <w:sz w:val="24"/>
          <w:szCs w:val="24"/>
        </w:rPr>
      </w:pPr>
    </w:p>
    <w:p w:rsidR="004A5A9E" w:rsidRDefault="004A5A9E">
      <w:pPr>
        <w:widowControl w:val="0"/>
        <w:autoSpaceDE w:val="0"/>
        <w:autoSpaceDN w:val="0"/>
        <w:adjustRightInd w:val="0"/>
        <w:spacing w:after="0" w:line="240" w:lineRule="auto"/>
        <w:rPr>
          <w:rFonts w:ascii="Times New Roman" w:hAnsi="Times New Roman" w:cs="Times New Roman"/>
          <w:sz w:val="24"/>
          <w:szCs w:val="24"/>
        </w:rPr>
      </w:pPr>
    </w:p>
    <w:p w:rsidR="004A5A9E" w:rsidRDefault="004A5A9E">
      <w:pPr>
        <w:widowControl w:val="0"/>
        <w:autoSpaceDE w:val="0"/>
        <w:autoSpaceDN w:val="0"/>
        <w:adjustRightInd w:val="0"/>
        <w:spacing w:after="0" w:line="240" w:lineRule="auto"/>
        <w:rPr>
          <w:rFonts w:ascii="Times New Roman" w:hAnsi="Times New Roman" w:cs="Times New Roman"/>
          <w:sz w:val="24"/>
          <w:szCs w:val="24"/>
        </w:rPr>
      </w:pPr>
    </w:p>
    <w:p w:rsidR="004A5A9E" w:rsidRDefault="004A5A9E">
      <w:pPr>
        <w:widowControl w:val="0"/>
        <w:autoSpaceDE w:val="0"/>
        <w:autoSpaceDN w:val="0"/>
        <w:adjustRightInd w:val="0"/>
        <w:spacing w:after="0" w:line="240" w:lineRule="auto"/>
        <w:rPr>
          <w:rFonts w:ascii="Times New Roman" w:hAnsi="Times New Roman" w:cs="Times New Roman"/>
          <w:sz w:val="24"/>
          <w:szCs w:val="24"/>
        </w:rPr>
      </w:pPr>
    </w:p>
    <w:p w:rsidR="004A5A9E" w:rsidRDefault="004A5A9E">
      <w:pPr>
        <w:widowControl w:val="0"/>
        <w:autoSpaceDE w:val="0"/>
        <w:autoSpaceDN w:val="0"/>
        <w:adjustRightInd w:val="0"/>
        <w:spacing w:after="0" w:line="240" w:lineRule="auto"/>
        <w:rPr>
          <w:rFonts w:ascii="Times New Roman" w:hAnsi="Times New Roman" w:cs="Times New Roman"/>
          <w:sz w:val="24"/>
          <w:szCs w:val="24"/>
        </w:rPr>
      </w:pPr>
    </w:p>
    <w:p w:rsidR="004A5A9E" w:rsidRDefault="004A5A9E">
      <w:pPr>
        <w:widowControl w:val="0"/>
        <w:autoSpaceDE w:val="0"/>
        <w:autoSpaceDN w:val="0"/>
        <w:adjustRightInd w:val="0"/>
        <w:spacing w:after="0" w:line="240" w:lineRule="auto"/>
        <w:rPr>
          <w:rFonts w:ascii="Times New Roman" w:hAnsi="Times New Roman" w:cs="Times New Roman"/>
          <w:sz w:val="24"/>
          <w:szCs w:val="24"/>
        </w:rPr>
      </w:pPr>
    </w:p>
    <w:p w:rsidR="004A5A9E" w:rsidRDefault="004A5A9E">
      <w:pPr>
        <w:widowControl w:val="0"/>
        <w:autoSpaceDE w:val="0"/>
        <w:autoSpaceDN w:val="0"/>
        <w:adjustRightInd w:val="0"/>
        <w:spacing w:after="0" w:line="240" w:lineRule="auto"/>
        <w:rPr>
          <w:rFonts w:ascii="Times New Roman" w:hAnsi="Times New Roman" w:cs="Times New Roman"/>
          <w:sz w:val="24"/>
          <w:szCs w:val="24"/>
        </w:rPr>
      </w:pPr>
    </w:p>
    <w:p w:rsidR="004A5A9E" w:rsidRDefault="004A5A9E">
      <w:pPr>
        <w:widowControl w:val="0"/>
        <w:autoSpaceDE w:val="0"/>
        <w:autoSpaceDN w:val="0"/>
        <w:adjustRightInd w:val="0"/>
        <w:spacing w:after="0" w:line="240" w:lineRule="auto"/>
        <w:rPr>
          <w:rFonts w:ascii="Times New Roman" w:hAnsi="Times New Roman" w:cs="Times New Roman"/>
          <w:sz w:val="24"/>
          <w:szCs w:val="24"/>
        </w:rPr>
      </w:pP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Spengler's Ominous Prophecy</w:t>
      </w:r>
      <w:r>
        <w:rPr>
          <w:rFonts w:ascii="Arial" w:hAnsi="Arial" w:cs="Arial"/>
          <w:sz w:val="20"/>
          <w:szCs w:val="20"/>
        </w:rPr>
        <w:t xml:space="preserve"> </w:t>
      </w:r>
    </w:p>
    <w:p w:rsidR="004A5A9E" w:rsidRDefault="004A5A9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Robert W. Merry, Editor The National Interest     -     Jan. 2, 2013 </w:t>
      </w:r>
    </w:p>
    <w:p w:rsidR="004A5A9E" w:rsidRDefault="004A5A9E">
      <w:pPr>
        <w:widowControl w:val="0"/>
        <w:autoSpaceDE w:val="0"/>
        <w:autoSpaceDN w:val="0"/>
        <w:adjustRightInd w:val="0"/>
        <w:spacing w:after="0" w:line="240" w:lineRule="auto"/>
        <w:rPr>
          <w:rFonts w:ascii="Arial" w:hAnsi="Arial" w:cs="Arial"/>
          <w:sz w:val="12"/>
          <w:szCs w:val="12"/>
        </w:rPr>
      </w:pP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An analysis of American decline must lead to questions about Western decline. And an analysis of Western decline must lead to Oswald Spengler, the German intellectual who in 1918 produced the first volume of his bombshell work Der Untergang des Abendlandes (The Decline of the West), followed by the second volume in 1922.    . . .   Spengler’s Decline beguiled numerous prominent men of ideas and action in post – World War II America. They included George Kennan, Henry Kissinger, Paul Nitze, Louis Halle, Hans Morgenthau and Reinhold Niebuhr. Kennan read Spengler in the original language during a stay in Germany in his youth. </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Kissinger’s undergraduate thesis at Harvard focused on Spengler, along with Toynbee and Kant  . . .    When Spengler’s book appeared in the wake of the Great War’s carnage, conventional historians attacked it immediately.   . . .   </w:t>
      </w: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Two elements of Spengler’s thinking merit particular attention. One is his rejection of the “Idea of Progress,” that hoary Western notion that mankind has advanced over the centuries    . . .    from primitiveness and barbarism to enlightenment and civilization — and that mankind will continue to advance    . . .    The Idea of Progress serves as progenitor of   . . .   American exceptionalism.    . . .    It fuels today’s foreign-policy belief, so prevalent across the political spectrum, that America’s world role is to remake other societies and cultures in the Western image.    . . .  Spengler, by contrast, embraced a view of history as   . . .  cyclical   . . .  civilizational decline is an immutable rule that applies to all civilizations   . . . </w:t>
      </w: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second noteworthy element of Spengler’s thought is his view   . . .   that the process of decline carries with it a surge of imperial fervor and a flight toward Caesarism.   . . . </w:t>
      </w: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Charles and Mary Beard wrote in The American Spirit, “Spengler’s judgment of history certainly conveyed to American readers the notion that ‘Western civilization’ was doomed and that another Caesar, the conquering man of blood and iron, would bring it to an end.”    . . .</w:t>
      </w: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 is fatuous to suggest the West holds center stage in world history. Spengler dismisses this Eurocentric view as the “Ptolemaic system of history” and posits his own “Copernican discovery in the historical sphere,” with no special position for the classical or Western civilizations    . .    Whereas the advent and success of feminism in the West is heralded in our time as a sign of civic progress, Spengler’s study of other civilizational cycles convinced him that it was just the opposite — a reflection of cultural decline, largely because it curtailed the production of children.    . . .     </w:t>
      </w: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Spengler felt certain that Germany would win    . . .    and emerge as “the last nation of the West,” spawning ground for that future Caesar who would lead the West to its final civilizational glory of world dominance.     . . .   But he was wrong about that     . . .    it was America, not Germany, that emerged as the last nation of the West   . . .   </w:t>
      </w: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It isn’t difficult to see why Spengler doesn’t resonate in today’s America or the West more generally, with their embrace of the Idea of Progress   . . .   Nor is it difficult to see why Spengler’s Cycles of History would spur yawns     . . .   But modern Westerners — and Americans in particular — might want to ponder the implications of Spengler’s prediction that the first nation of the West would lead that civilization into an era of imperialism   . . .    Is it possible that the mystical German thinker was right    . . .   just as he was right in so many other predictions    . . . </w:t>
      </w: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16"/>
          <w:szCs w:val="16"/>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But what about Spengler’s corollary prediction that the West’s democratic forms will erode as it fulfills its civilizational push to empire?    . . .   Here too we see signs that the country is headed in that direction   . . .    It’s seen also in the Federal Reserve’s remarkable power grab of recent years whereby it has circumvented the congressional appropriations process in making funds available to banks to execute its “quantitative easing” policies of loose money. Again, Congress has quietly accepted this incursion into its constitutional domain without so much as a whimper.</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so we come to the truly haunting question that confronts America in these times    . . .     whether, as the last nation of the West,   . . .   is destined to fulfill Spengler’s vision of    . . . dictatorship.    . . .   The era of Western cultural health is dead, and it died pretty much as Spengler predicted it would.    . . .    Empire and Caesarism  . . .   can be resisted by a free people dedicated to the protection of their institutions of old. But they won’t be protected if events are placed on autopilot. The American impulse toward imperialism will prevail if it is not rebuffed consciously   . . .</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http://strategicstudyindia.blogspot.com/2013/01/spenglers-ominous-prophecy.html</w:t>
      </w: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Times New Roman" w:hAnsi="Times New Roman" w:cs="Times New Roman"/>
          <w:sz w:val="24"/>
          <w:szCs w:val="24"/>
        </w:rPr>
      </w:pPr>
    </w:p>
    <w:p w:rsidR="004A5A9E" w:rsidRDefault="004A5A9E">
      <w:pPr>
        <w:widowControl w:val="0"/>
        <w:autoSpaceDE w:val="0"/>
        <w:autoSpaceDN w:val="0"/>
        <w:adjustRightInd w:val="0"/>
        <w:spacing w:after="0" w:line="240" w:lineRule="auto"/>
        <w:rPr>
          <w:rFonts w:ascii="Times New Roman" w:hAnsi="Times New Roman" w:cs="Times New Roman"/>
          <w:sz w:val="24"/>
          <w:szCs w:val="24"/>
        </w:rPr>
      </w:pPr>
    </w:p>
    <w:p w:rsidR="004A5A9E" w:rsidRDefault="004A5A9E">
      <w:pPr>
        <w:widowControl w:val="0"/>
        <w:autoSpaceDE w:val="0"/>
        <w:autoSpaceDN w:val="0"/>
        <w:adjustRightInd w:val="0"/>
        <w:spacing w:after="0" w:line="240" w:lineRule="auto"/>
        <w:rPr>
          <w:rFonts w:ascii="Times New Roman" w:hAnsi="Times New Roman" w:cs="Times New Roman"/>
          <w:sz w:val="24"/>
          <w:szCs w:val="24"/>
        </w:rPr>
      </w:pPr>
    </w:p>
    <w:p w:rsidR="004A5A9E" w:rsidRDefault="004A5A9E">
      <w:pPr>
        <w:widowControl w:val="0"/>
        <w:autoSpaceDE w:val="0"/>
        <w:autoSpaceDN w:val="0"/>
        <w:adjustRightInd w:val="0"/>
        <w:spacing w:after="0" w:line="240" w:lineRule="auto"/>
        <w:rPr>
          <w:rFonts w:ascii="Times New Roman" w:hAnsi="Times New Roman" w:cs="Times New Roman"/>
          <w:sz w:val="24"/>
          <w:szCs w:val="24"/>
        </w:rPr>
      </w:pPr>
    </w:p>
    <w:p w:rsidR="004A5A9E" w:rsidRDefault="004A5A9E">
      <w:pPr>
        <w:widowControl w:val="0"/>
        <w:autoSpaceDE w:val="0"/>
        <w:autoSpaceDN w:val="0"/>
        <w:adjustRightInd w:val="0"/>
        <w:spacing w:after="0" w:line="240" w:lineRule="auto"/>
        <w:rPr>
          <w:rFonts w:ascii="Times New Roman" w:hAnsi="Times New Roman" w:cs="Times New Roman"/>
          <w:sz w:val="24"/>
          <w:szCs w:val="24"/>
        </w:rPr>
      </w:pPr>
    </w:p>
    <w:p w:rsidR="004A5A9E" w:rsidRDefault="004A5A9E">
      <w:pPr>
        <w:widowControl w:val="0"/>
        <w:autoSpaceDE w:val="0"/>
        <w:autoSpaceDN w:val="0"/>
        <w:adjustRightInd w:val="0"/>
        <w:spacing w:after="0" w:line="240" w:lineRule="auto"/>
        <w:rPr>
          <w:rFonts w:ascii="Times New Roman" w:hAnsi="Times New Roman" w:cs="Times New Roman"/>
          <w:sz w:val="24"/>
          <w:szCs w:val="24"/>
        </w:rPr>
      </w:pP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Arial" w:hAnsi="Arial" w:cs="Arial"/>
          <w:sz w:val="20"/>
          <w:szCs w:val="20"/>
        </w:rPr>
      </w:pPr>
    </w:p>
    <w:p w:rsidR="004A5A9E" w:rsidRDefault="004A5A9E">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4A5A9E" w:rsidRDefault="004A5A9E">
      <w:pPr>
        <w:widowControl w:val="0"/>
        <w:autoSpaceDE w:val="0"/>
        <w:autoSpaceDN w:val="0"/>
        <w:adjustRightInd w:val="0"/>
        <w:spacing w:after="0" w:line="240" w:lineRule="auto"/>
        <w:rPr>
          <w:rFonts w:ascii="Times New Roman" w:hAnsi="Times New Roman" w:cs="Times New Roman"/>
          <w:sz w:val="34"/>
          <w:szCs w:val="34"/>
        </w:rPr>
      </w:pPr>
    </w:p>
    <w:p w:rsidR="004A5A9E" w:rsidRDefault="004A5A9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4A5A9E" w:rsidSect="004A5A9E">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5A9E" w:rsidRDefault="004A5A9E" w:rsidP="004A5A9E">
      <w:pPr>
        <w:spacing w:after="0" w:line="240" w:lineRule="auto"/>
      </w:pPr>
      <w:r>
        <w:separator/>
      </w:r>
    </w:p>
  </w:endnote>
  <w:endnote w:type="continuationSeparator" w:id="0">
    <w:p w:rsidR="004A5A9E" w:rsidRDefault="004A5A9E" w:rsidP="004A5A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5A9E" w:rsidRDefault="004A5A9E">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5A9E" w:rsidRDefault="004A5A9E" w:rsidP="004A5A9E">
      <w:pPr>
        <w:spacing w:after="0" w:line="240" w:lineRule="auto"/>
      </w:pPr>
      <w:r>
        <w:separator/>
      </w:r>
    </w:p>
  </w:footnote>
  <w:footnote w:type="continuationSeparator" w:id="0">
    <w:p w:rsidR="004A5A9E" w:rsidRDefault="004A5A9E" w:rsidP="004A5A9E">
      <w:pPr>
        <w:spacing w:after="0" w:line="240" w:lineRule="auto"/>
      </w:pPr>
      <w:r>
        <w:continuationSeparator/>
      </w:r>
    </w:p>
  </w:footnote>
  <w:footnote w:id="1">
    <w:p w:rsidR="004A5A9E" w:rsidRDefault="004A5A9E">
      <w:pPr>
        <w:widowControl w:val="0"/>
        <w:autoSpaceDE w:val="0"/>
        <w:autoSpaceDN w:val="0"/>
        <w:adjustRightInd w:val="0"/>
        <w:spacing w:after="0" w:line="240" w:lineRule="auto"/>
        <w:ind w:left="1440"/>
        <w:rPr>
          <w:rFonts w:ascii="Times New Roman" w:hAnsi="Times New Roman" w:cs="Times New Roman"/>
          <w:sz w:val="24"/>
          <w:szCs w:val="24"/>
        </w:rPr>
      </w:pPr>
      <w:r w:rsidRPr="00F97DF2">
        <w:rPr>
          <w:rStyle w:val="FootnoteReference"/>
        </w:rPr>
        <w:footnoteRef/>
      </w:r>
      <w:r>
        <w:rPr>
          <w:rFonts w:ascii="Times New Roman" w:hAnsi="Times New Roman" w:cs="Times New Roman"/>
          <w:sz w:val="24"/>
          <w:szCs w:val="24"/>
        </w:rPr>
        <w:t xml:space="preserve">  An examination of the word “exigent” might be in order.</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5A9E" w:rsidRDefault="004A5A9E">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A5A9E"/>
    <w:rsid w:val="004A5A9E"/>
    <w:rsid w:val="00F97DF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F97DF2"/>
    <w:rPr>
      <w:vertAlign w:val="superscript"/>
    </w:rPr>
  </w:style>
  <w:style w:type="character" w:styleId="FootnoteReference">
    <w:name w:val="footnote reference"/>
    <w:basedOn w:val="DefaultParagraphFont"/>
    <w:uiPriority w:val="99"/>
    <w:semiHidden/>
    <w:unhideWhenUsed/>
    <w:rsid w:val="00F97DF2"/>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5489</Words>
  <Characters>31292</Characters>
  <Application>Microsoft Office Word</Application>
  <DocSecurity>0</DocSecurity>
  <Lines>260</Lines>
  <Paragraphs>73</Paragraphs>
  <ScaleCrop>false</ScaleCrop>
  <Company/>
  <LinksUpToDate>false</LinksUpToDate>
  <CharactersWithSpaces>36708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2016-05-16T14:47:00Z</dcterms:created>
  <dcterms:modified xsi:type="dcterms:W3CDTF">2016-05-16T14:47:00Z</dcterms:modified>
</cp:coreProperties>
</file>